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8668"/>
      </w:tblGrid>
      <w:tr w:rsidR="00F15122" w14:paraId="2F2FF6A4" w14:textId="77777777">
        <w:trPr>
          <w:trHeight w:hRule="exact" w:val="659"/>
        </w:trPr>
        <w:tc>
          <w:tcPr>
            <w:tcW w:w="17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auto"/>
            </w:tcBorders>
            <w:shd w:val="clear" w:color="auto" w:fill="DBE5F1"/>
            <w:vAlign w:val="center"/>
          </w:tcPr>
          <w:p w14:paraId="212C1A3C" w14:textId="77777777" w:rsidR="00F15122" w:rsidRDefault="00000000">
            <w:pPr>
              <w:snapToGrid w:val="0"/>
              <w:ind w:leftChars="50" w:left="110" w:rightChars="50" w:right="110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事業名</w:t>
            </w:r>
          </w:p>
        </w:tc>
        <w:tc>
          <w:tcPr>
            <w:tcW w:w="8789" w:type="dxa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33F73EC6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GX金融リテラシー向上座談会</w:t>
            </w:r>
          </w:p>
        </w:tc>
      </w:tr>
      <w:tr w:rsidR="00F15122" w14:paraId="189E0545" w14:textId="77777777">
        <w:trPr>
          <w:trHeight w:hRule="exact" w:val="1416"/>
        </w:trPr>
        <w:tc>
          <w:tcPr>
            <w:tcW w:w="17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BE5F1"/>
            <w:vAlign w:val="center"/>
          </w:tcPr>
          <w:p w14:paraId="5E15BAB5" w14:textId="77777777" w:rsidR="00F15122" w:rsidRDefault="00000000">
            <w:pPr>
              <w:snapToGrid w:val="0"/>
              <w:ind w:leftChars="50" w:left="110" w:rightChars="50" w:right="110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目的</w:t>
            </w:r>
          </w:p>
        </w:tc>
        <w:tc>
          <w:tcPr>
            <w:tcW w:w="878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2A89663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金融機関職員が、脱炭素経営・ESG情報開示・クレジット市場などの「最新の制度・市場動向」と「企業の実務的な課題・意向」を理解し、企業支援・ファイナンスに活かせる知見を得る。</w:t>
            </w:r>
          </w:p>
        </w:tc>
      </w:tr>
      <w:tr w:rsidR="00F15122" w14:paraId="59040B39" w14:textId="77777777">
        <w:trPr>
          <w:trHeight w:val="659"/>
        </w:trPr>
        <w:tc>
          <w:tcPr>
            <w:tcW w:w="17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BE5F1"/>
            <w:vAlign w:val="center"/>
          </w:tcPr>
          <w:p w14:paraId="013CEF7B" w14:textId="77777777" w:rsidR="00F15122" w:rsidRDefault="00000000">
            <w:pPr>
              <w:snapToGrid w:val="0"/>
              <w:ind w:leftChars="50" w:left="110" w:rightChars="50" w:right="110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実施日時</w:t>
            </w:r>
          </w:p>
        </w:tc>
        <w:tc>
          <w:tcPr>
            <w:tcW w:w="878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9BBE9C6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令和８年1月19日（月）14時～1６時　</w:t>
            </w:r>
          </w:p>
        </w:tc>
      </w:tr>
      <w:tr w:rsidR="00F15122" w14:paraId="03C5023D" w14:textId="77777777">
        <w:trPr>
          <w:trHeight w:val="659"/>
        </w:trPr>
        <w:tc>
          <w:tcPr>
            <w:tcW w:w="17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BE5F1"/>
            <w:vAlign w:val="center"/>
          </w:tcPr>
          <w:p w14:paraId="0B2F7B31" w14:textId="77777777" w:rsidR="00F15122" w:rsidRDefault="00000000">
            <w:pPr>
              <w:snapToGrid w:val="0"/>
              <w:ind w:leftChars="50" w:left="110" w:rightChars="50" w:right="110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実施場所</w:t>
            </w:r>
          </w:p>
        </w:tc>
        <w:tc>
          <w:tcPr>
            <w:tcW w:w="878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795AAC4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静岡県産業経済会館     特別会議室  （静岡市葵区追手町４４－１）</w:t>
            </w:r>
          </w:p>
        </w:tc>
      </w:tr>
      <w:tr w:rsidR="00F15122" w14:paraId="77D5CE47" w14:textId="77777777">
        <w:trPr>
          <w:trHeight w:val="659"/>
        </w:trPr>
        <w:tc>
          <w:tcPr>
            <w:tcW w:w="17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BE5F1"/>
            <w:vAlign w:val="center"/>
          </w:tcPr>
          <w:p w14:paraId="37F39A41" w14:textId="77777777" w:rsidR="00F15122" w:rsidRDefault="00000000">
            <w:pPr>
              <w:snapToGrid w:val="0"/>
              <w:ind w:leftChars="50" w:left="110" w:rightChars="50" w:right="110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対象者</w:t>
            </w:r>
          </w:p>
        </w:tc>
        <w:tc>
          <w:tcPr>
            <w:tcW w:w="878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7717D04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しずおかカーボンニュートラル金融コンソーシアムメンバー　15名（最大20名程度）</w:t>
            </w:r>
          </w:p>
        </w:tc>
      </w:tr>
      <w:tr w:rsidR="00F15122" w14:paraId="4F386CD1" w14:textId="77777777">
        <w:trPr>
          <w:trHeight w:val="659"/>
        </w:trPr>
        <w:tc>
          <w:tcPr>
            <w:tcW w:w="17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BE5F1"/>
            <w:vAlign w:val="center"/>
          </w:tcPr>
          <w:p w14:paraId="6057731A" w14:textId="77777777" w:rsidR="00F15122" w:rsidRDefault="00000000">
            <w:pPr>
              <w:snapToGrid w:val="0"/>
              <w:ind w:leftChars="50" w:left="110" w:rightChars="50" w:right="110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講師等</w:t>
            </w:r>
          </w:p>
        </w:tc>
        <w:tc>
          <w:tcPr>
            <w:tcW w:w="878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5E78949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早稲田大学　教授　</w:t>
            </w:r>
            <w:r>
              <w:rPr>
                <w:rFonts w:ascii="メイリオ" w:eastAsia="メイリオ" w:hAnsi="メイリオ"/>
                <w:sz w:val="24"/>
              </w:rPr>
              <w:t>森本 英香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氏</w:t>
            </w:r>
          </w:p>
          <w:p w14:paraId="6E8A6B04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株式会社エスプールブルードットグリーン　取締役社長　八林　公平　氏</w:t>
            </w:r>
          </w:p>
        </w:tc>
      </w:tr>
      <w:tr w:rsidR="00F15122" w14:paraId="58D99090" w14:textId="77777777">
        <w:trPr>
          <w:trHeight w:val="4675"/>
        </w:trPr>
        <w:tc>
          <w:tcPr>
            <w:tcW w:w="17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BE5F1"/>
            <w:vAlign w:val="center"/>
          </w:tcPr>
          <w:p w14:paraId="42B36B36" w14:textId="77777777" w:rsidR="00F15122" w:rsidRDefault="00000000">
            <w:pPr>
              <w:snapToGrid w:val="0"/>
              <w:ind w:leftChars="50" w:left="110" w:rightChars="50" w:right="110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実施内容</w:t>
            </w:r>
          </w:p>
        </w:tc>
        <w:tc>
          <w:tcPr>
            <w:tcW w:w="878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824D5EC" w14:textId="77777777" w:rsidR="00F15122" w:rsidRDefault="00F15122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tbl>
            <w:tblPr>
              <w:tblStyle w:val="TableGrid"/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1407"/>
              <w:gridCol w:w="3913"/>
              <w:gridCol w:w="3120"/>
            </w:tblGrid>
            <w:tr w:rsidR="00F15122" w14:paraId="1985650C" w14:textId="77777777">
              <w:tc>
                <w:tcPr>
                  <w:tcW w:w="1407" w:type="dxa"/>
                  <w:vAlign w:val="center"/>
                </w:tcPr>
                <w:p w14:paraId="382FC0BC" w14:textId="77777777" w:rsidR="00F15122" w:rsidRDefault="00000000">
                  <w:pPr>
                    <w:snapToGrid w:val="0"/>
                    <w:jc w:val="center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sz w:val="24"/>
                    </w:rPr>
                    <w:t>区分</w:t>
                  </w:r>
                </w:p>
              </w:tc>
              <w:tc>
                <w:tcPr>
                  <w:tcW w:w="3913" w:type="dxa"/>
                  <w:vAlign w:val="center"/>
                </w:tcPr>
                <w:p w14:paraId="1B01CBD5" w14:textId="77777777" w:rsidR="00F15122" w:rsidRDefault="00000000">
                  <w:pPr>
                    <w:snapToGrid w:val="0"/>
                    <w:jc w:val="center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/>
                      <w:sz w:val="24"/>
                    </w:rPr>
                    <w:t>内容</w:t>
                  </w:r>
                </w:p>
              </w:tc>
              <w:tc>
                <w:tcPr>
                  <w:tcW w:w="3120" w:type="dxa"/>
                  <w:vAlign w:val="center"/>
                </w:tcPr>
                <w:p w14:paraId="2EF5748F" w14:textId="77777777" w:rsidR="00F15122" w:rsidRDefault="00000000">
                  <w:pPr>
                    <w:snapToGrid w:val="0"/>
                    <w:jc w:val="center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/>
                      <w:sz w:val="24"/>
                    </w:rPr>
                    <w:t>時間</w:t>
                  </w:r>
                </w:p>
              </w:tc>
            </w:tr>
            <w:tr w:rsidR="00F15122" w14:paraId="1E53DD8E" w14:textId="77777777">
              <w:tc>
                <w:tcPr>
                  <w:tcW w:w="1407" w:type="dxa"/>
                  <w:vAlign w:val="center"/>
                </w:tcPr>
                <w:p w14:paraId="2D8241B2" w14:textId="77777777" w:rsidR="00F15122" w:rsidRDefault="00000000">
                  <w:pPr>
                    <w:snapToGrid w:val="0"/>
                    <w:jc w:val="center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sz w:val="24"/>
                    </w:rPr>
                    <w:t>第</w:t>
                  </w:r>
                  <w:r>
                    <w:rPr>
                      <w:rFonts w:ascii="メイリオ" w:eastAsia="メイリオ" w:hAnsi="メイリオ"/>
                      <w:sz w:val="24"/>
                    </w:rPr>
                    <w:t>1部</w:t>
                  </w:r>
                </w:p>
              </w:tc>
              <w:tc>
                <w:tcPr>
                  <w:tcW w:w="3913" w:type="dxa"/>
                </w:tcPr>
                <w:p w14:paraId="791F1650" w14:textId="77777777" w:rsidR="00F15122" w:rsidRDefault="00000000">
                  <w:pPr>
                    <w:snapToGrid w:val="0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/>
                      <w:sz w:val="24"/>
                    </w:rPr>
                    <w:t>イントロダクション</w:t>
                  </w:r>
                </w:p>
              </w:tc>
              <w:tc>
                <w:tcPr>
                  <w:tcW w:w="3120" w:type="dxa"/>
                </w:tcPr>
                <w:p w14:paraId="38A7F44C" w14:textId="77777777" w:rsidR="00F15122" w:rsidRDefault="00000000">
                  <w:pPr>
                    <w:snapToGrid w:val="0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/>
                      <w:sz w:val="24"/>
                    </w:rPr>
                    <w:t>10分</w:t>
                  </w:r>
                </w:p>
              </w:tc>
            </w:tr>
            <w:tr w:rsidR="00F15122" w14:paraId="79B8E365" w14:textId="77777777">
              <w:tc>
                <w:tcPr>
                  <w:tcW w:w="1407" w:type="dxa"/>
                  <w:vAlign w:val="center"/>
                </w:tcPr>
                <w:p w14:paraId="1267512D" w14:textId="77777777" w:rsidR="00F15122" w:rsidRDefault="00000000">
                  <w:pPr>
                    <w:snapToGrid w:val="0"/>
                    <w:jc w:val="center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sz w:val="24"/>
                    </w:rPr>
                    <w:t>第</w:t>
                  </w:r>
                  <w:r>
                    <w:rPr>
                      <w:rFonts w:ascii="メイリオ" w:eastAsia="メイリオ" w:hAnsi="メイリオ"/>
                      <w:sz w:val="24"/>
                    </w:rPr>
                    <w:t>2部</w:t>
                  </w:r>
                </w:p>
              </w:tc>
              <w:tc>
                <w:tcPr>
                  <w:tcW w:w="3913" w:type="dxa"/>
                </w:tcPr>
                <w:p w14:paraId="20A1F4DB" w14:textId="77777777" w:rsidR="00F15122" w:rsidRDefault="00000000">
                  <w:pPr>
                    <w:snapToGrid w:val="0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/>
                      <w:sz w:val="24"/>
                    </w:rPr>
                    <w:t>テーマ別セッション（</w:t>
                  </w:r>
                  <w:r>
                    <w:rPr>
                      <w:rFonts w:ascii="メイリオ" w:eastAsia="メイリオ" w:hAnsi="メイリオ" w:hint="eastAsia"/>
                      <w:sz w:val="24"/>
                    </w:rPr>
                    <w:t>２</w:t>
                  </w:r>
                  <w:r>
                    <w:rPr>
                      <w:rFonts w:ascii="メイリオ" w:eastAsia="メイリオ" w:hAnsi="メイリオ"/>
                      <w:sz w:val="24"/>
                    </w:rPr>
                    <w:t>テーマ）</w:t>
                  </w:r>
                </w:p>
              </w:tc>
              <w:tc>
                <w:tcPr>
                  <w:tcW w:w="3120" w:type="dxa"/>
                </w:tcPr>
                <w:p w14:paraId="003B304E" w14:textId="77777777" w:rsidR="00F15122" w:rsidRDefault="00000000">
                  <w:pPr>
                    <w:snapToGrid w:val="0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sz w:val="24"/>
                    </w:rPr>
                    <w:t>120分</w:t>
                  </w:r>
                </w:p>
              </w:tc>
            </w:tr>
            <w:tr w:rsidR="00F15122" w14:paraId="56F05345" w14:textId="77777777">
              <w:tc>
                <w:tcPr>
                  <w:tcW w:w="1407" w:type="dxa"/>
                  <w:vAlign w:val="center"/>
                </w:tcPr>
                <w:p w14:paraId="44F88956" w14:textId="77777777" w:rsidR="00F15122" w:rsidRDefault="00000000">
                  <w:pPr>
                    <w:snapToGrid w:val="0"/>
                    <w:jc w:val="center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sz w:val="24"/>
                    </w:rPr>
                    <w:t>まとめ</w:t>
                  </w:r>
                </w:p>
              </w:tc>
              <w:tc>
                <w:tcPr>
                  <w:tcW w:w="3913" w:type="dxa"/>
                </w:tcPr>
                <w:p w14:paraId="0DB982D5" w14:textId="77777777" w:rsidR="00F15122" w:rsidRDefault="00000000">
                  <w:pPr>
                    <w:snapToGrid w:val="0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/>
                      <w:sz w:val="24"/>
                    </w:rPr>
                    <w:t>総括</w:t>
                  </w:r>
                </w:p>
              </w:tc>
              <w:tc>
                <w:tcPr>
                  <w:tcW w:w="3120" w:type="dxa"/>
                </w:tcPr>
                <w:p w14:paraId="20DCF002" w14:textId="77777777" w:rsidR="00F15122" w:rsidRDefault="00000000">
                  <w:pPr>
                    <w:snapToGrid w:val="0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/>
                      <w:sz w:val="24"/>
                    </w:rPr>
                    <w:t>5分</w:t>
                  </w:r>
                </w:p>
              </w:tc>
            </w:tr>
            <w:tr w:rsidR="00F15122" w14:paraId="5C5A4DD7" w14:textId="77777777">
              <w:tc>
                <w:tcPr>
                  <w:tcW w:w="1407" w:type="dxa"/>
                  <w:vAlign w:val="center"/>
                </w:tcPr>
                <w:p w14:paraId="5CB75009" w14:textId="77777777" w:rsidR="00F15122" w:rsidRDefault="00000000">
                  <w:pPr>
                    <w:snapToGrid w:val="0"/>
                    <w:jc w:val="center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sz w:val="24"/>
                    </w:rPr>
                    <w:t>計</w:t>
                  </w:r>
                </w:p>
              </w:tc>
              <w:tc>
                <w:tcPr>
                  <w:tcW w:w="3913" w:type="dxa"/>
                </w:tcPr>
                <w:p w14:paraId="7F865E87" w14:textId="77777777" w:rsidR="00F15122" w:rsidRDefault="00F15122">
                  <w:pPr>
                    <w:snapToGrid w:val="0"/>
                    <w:rPr>
                      <w:rFonts w:ascii="メイリオ" w:eastAsia="メイリオ" w:hAnsi="メイリオ"/>
                      <w:sz w:val="24"/>
                    </w:rPr>
                  </w:pPr>
                </w:p>
              </w:tc>
              <w:tc>
                <w:tcPr>
                  <w:tcW w:w="3120" w:type="dxa"/>
                </w:tcPr>
                <w:p w14:paraId="60E56B82" w14:textId="77777777" w:rsidR="00F15122" w:rsidRDefault="00000000">
                  <w:pPr>
                    <w:snapToGrid w:val="0"/>
                    <w:rPr>
                      <w:rFonts w:ascii="メイリオ" w:eastAsia="メイリオ" w:hAnsi="メイリオ"/>
                      <w:sz w:val="24"/>
                    </w:rPr>
                  </w:pPr>
                  <w:r>
                    <w:rPr>
                      <w:rFonts w:ascii="メイリオ" w:eastAsia="メイリオ" w:hAnsi="メイリオ"/>
                      <w:sz w:val="24"/>
                    </w:rPr>
                    <w:t>約</w:t>
                  </w:r>
                  <w:r>
                    <w:rPr>
                      <w:rFonts w:ascii="メイリオ" w:eastAsia="メイリオ" w:hAnsi="メイリオ" w:hint="eastAsia"/>
                      <w:sz w:val="24"/>
                    </w:rPr>
                    <w:t>120</w:t>
                  </w:r>
                  <w:r>
                    <w:rPr>
                      <w:rFonts w:ascii="メイリオ" w:eastAsia="メイリオ" w:hAnsi="メイリオ"/>
                      <w:sz w:val="24"/>
                    </w:rPr>
                    <w:t>分</w:t>
                  </w:r>
                </w:p>
              </w:tc>
            </w:tr>
          </w:tbl>
          <w:p w14:paraId="0F69155D" w14:textId="77777777" w:rsidR="00F15122" w:rsidRDefault="00F15122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14:paraId="4D65459C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第</w:t>
            </w:r>
            <w:r>
              <w:rPr>
                <w:rFonts w:ascii="メイリオ" w:eastAsia="メイリオ" w:hAnsi="メイリオ"/>
                <w:b/>
                <w:sz w:val="24"/>
              </w:rPr>
              <w:t>1部</w:t>
            </w:r>
          </w:p>
          <w:p w14:paraId="412C4DAF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/>
                <w:b/>
                <w:sz w:val="24"/>
              </w:rPr>
              <w:t>イントロダクション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（</w:t>
            </w:r>
            <w:r>
              <w:rPr>
                <w:rFonts w:ascii="メイリオ" w:eastAsia="メイリオ" w:hAnsi="メイリオ"/>
                <w:b/>
                <w:sz w:val="24"/>
              </w:rPr>
              <w:t>1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0</w:t>
            </w:r>
            <w:r>
              <w:rPr>
                <w:rFonts w:ascii="メイリオ" w:eastAsia="メイリオ" w:hAnsi="メイリオ"/>
                <w:b/>
                <w:sz w:val="24"/>
              </w:rPr>
              <w:t>分）</w:t>
            </w:r>
          </w:p>
          <w:p w14:paraId="5BAD0E83" w14:textId="77777777" w:rsidR="00F15122" w:rsidRDefault="00000000">
            <w:pPr>
              <w:snapToGrid w:val="0"/>
              <w:ind w:firstLineChars="101" w:firstLine="242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ESG・脱炭素を「金融がなぜ扱わざるを得ないか」</w:t>
            </w:r>
          </w:p>
          <w:p w14:paraId="19128C90" w14:textId="77777777" w:rsidR="00F15122" w:rsidRDefault="00000000">
            <w:pPr>
              <w:snapToGrid w:val="0"/>
              <w:ind w:firstLineChars="101" w:firstLine="242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正解を求めるのではなく、一緒に考える場である</w:t>
            </w:r>
          </w:p>
          <w:p w14:paraId="77A72309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/>
                <w:b/>
                <w:sz w:val="24"/>
              </w:rPr>
              <w:t>第2部</w:t>
            </w:r>
          </w:p>
          <w:p w14:paraId="61F80F59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テーマ別セッション</w:t>
            </w:r>
          </w:p>
          <w:p w14:paraId="0471A593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①テーマ1：企業の情報開示と金融の責任</w:t>
            </w:r>
          </w:p>
          <w:p w14:paraId="16E99C85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「情報開示はどこまで必要か、中小企業の対応」</w:t>
            </w:r>
          </w:p>
          <w:p w14:paraId="1B2662ED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・</w:t>
            </w:r>
            <w:r>
              <w:rPr>
                <w:rFonts w:ascii="メイリオ" w:eastAsia="メイリオ" w:hAnsi="メイリオ"/>
                <w:b/>
                <w:sz w:val="24"/>
              </w:rPr>
              <w:t>八林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先生</w:t>
            </w:r>
            <w:r>
              <w:rPr>
                <w:rFonts w:ascii="メイリオ" w:eastAsia="メイリオ" w:hAnsi="メイリオ"/>
                <w:b/>
                <w:sz w:val="24"/>
              </w:rPr>
              <w:t>講演（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15</w:t>
            </w:r>
            <w:r>
              <w:rPr>
                <w:rFonts w:ascii="メイリオ" w:eastAsia="メイリオ" w:hAnsi="メイリオ"/>
                <w:b/>
                <w:sz w:val="24"/>
              </w:rPr>
              <w:t>分）</w:t>
            </w:r>
          </w:p>
          <w:p w14:paraId="2AADD1F3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・ディスカッション</w:t>
            </w:r>
            <w:r>
              <w:rPr>
                <w:rFonts w:ascii="メイリオ" w:eastAsia="メイリオ" w:hAnsi="メイリオ"/>
                <w:b/>
                <w:sz w:val="24"/>
              </w:rPr>
              <w:t>（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30</w:t>
            </w:r>
            <w:r>
              <w:rPr>
                <w:rFonts w:ascii="メイリオ" w:eastAsia="メイリオ" w:hAnsi="メイリオ"/>
                <w:b/>
                <w:sz w:val="24"/>
              </w:rPr>
              <w:t>分）</w:t>
            </w:r>
          </w:p>
          <w:p w14:paraId="695C256D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②テーマ２：中小企業支援ツールとしての活用について</w:t>
            </w:r>
          </w:p>
          <w:p w14:paraId="0F14B1C0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「EA21アドバンスト・SBT・CDPの活用価値と支援ツールとしての使い方」</w:t>
            </w:r>
          </w:p>
          <w:p w14:paraId="27F3BC7D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「再エネ証書・クレジットの活用可能性と今後の市場拡大の見込み」</w:t>
            </w:r>
          </w:p>
          <w:p w14:paraId="4C92C18E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・</w:t>
            </w:r>
            <w:r>
              <w:rPr>
                <w:rFonts w:ascii="メイリオ" w:eastAsia="メイリオ" w:hAnsi="メイリオ"/>
                <w:b/>
                <w:sz w:val="24"/>
              </w:rPr>
              <w:t>八林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先生</w:t>
            </w:r>
            <w:r>
              <w:rPr>
                <w:rFonts w:ascii="メイリオ" w:eastAsia="メイリオ" w:hAnsi="メイリオ"/>
                <w:b/>
                <w:sz w:val="24"/>
              </w:rPr>
              <w:t>講演（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20</w:t>
            </w:r>
            <w:r>
              <w:rPr>
                <w:rFonts w:ascii="メイリオ" w:eastAsia="メイリオ" w:hAnsi="メイリオ"/>
                <w:b/>
                <w:sz w:val="24"/>
              </w:rPr>
              <w:t>分）</w:t>
            </w:r>
          </w:p>
          <w:p w14:paraId="35183CA1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lastRenderedPageBreak/>
              <w:t>・ディスカッション</w:t>
            </w:r>
            <w:r>
              <w:rPr>
                <w:rFonts w:ascii="メイリオ" w:eastAsia="メイリオ" w:hAnsi="メイリオ"/>
                <w:b/>
                <w:sz w:val="24"/>
              </w:rPr>
              <w:t>（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40</w:t>
            </w:r>
            <w:r>
              <w:rPr>
                <w:rFonts w:ascii="メイリオ" w:eastAsia="メイリオ" w:hAnsi="メイリオ"/>
                <w:b/>
                <w:sz w:val="24"/>
              </w:rPr>
              <w:t>分）</w:t>
            </w:r>
          </w:p>
          <w:p w14:paraId="7DDAB05F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b/>
                <w:sz w:val="24"/>
              </w:rPr>
              <w:t>まとめ（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５</w:t>
            </w:r>
            <w:r>
              <w:rPr>
                <w:rFonts w:ascii="メイリオ" w:eastAsia="メイリオ" w:hAnsi="メイリオ"/>
                <w:b/>
                <w:sz w:val="24"/>
              </w:rPr>
              <w:t>分）</w:t>
            </w:r>
          </w:p>
          <w:p w14:paraId="49AD1C14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/>
                <w:b/>
                <w:sz w:val="24"/>
              </w:rPr>
              <w:t>森本先生による総括</w:t>
            </w:r>
          </w:p>
          <w:p w14:paraId="111B16F1" w14:textId="77777777" w:rsidR="00F15122" w:rsidRDefault="00000000">
            <w:pPr>
              <w:snapToGrid w:val="0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63EE1CA4" wp14:editId="40CDB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28575" cy="363855"/>
                      <wp:effectExtent l="0" t="0" r="635" b="635"/>
                      <wp:wrapNone/>
                      <wp:docPr id="1026" name="Shap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A4C"/>
                              </a:solidFill>
                              <a:ln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8" style="mso-wrap-distance-right:9pt;mso-wrap-distance-bottom:0pt;margin-top:11.45pt;mso-position-vertical-relative:text;mso-position-horizontal-relative:text;position:absolute;height:28.65pt;mso-wrap-distance-top:0pt;width:2.25pt;mso-wrap-distance-left:9pt;margin-left:0pt;z-index:3;" o:spid="_x0000_s1026" o:allowincell="t" o:allowoverlap="t" filled="t" fillcolor="#005a4c" stroked="f" o:spt="1">
                      <v:fill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2E18664A" wp14:editId="7918F4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4954905" cy="363855"/>
                      <wp:effectExtent l="0" t="0" r="635" b="635"/>
                      <wp:wrapNone/>
                      <wp:docPr id="1027" name="Shap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490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/>
                            </wps:spPr>
                            <wps:txbx>
                              <w:txbxContent>
                                <w:p w14:paraId="70E13F0D" w14:textId="77777777" w:rsidR="00F15122" w:rsidRDefault="00000000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/>
                                      <w:color w:val="1A1A1A"/>
                                      <w:kern w:val="24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1A1A1A"/>
                                      <w:kern w:val="24"/>
                                      <w:sz w:val="24"/>
                                    </w:rPr>
                                    <w:t>「金融はどこまで踏み込むべきか」</w:t>
                                  </w:r>
                                </w:p>
                              </w:txbxContent>
                            </wps:txbx>
                            <wps:bodyPr vertOverflow="overflow" horzOverflow="overflow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18664A" id="Shape 17" o:spid="_x0000_s1026" style="position:absolute;margin-left:0;margin-top:11.45pt;width:390.15pt;height:28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" stroked="f">
                      <v:textbox>
                        <w:txbxContent>
                          <w:p w14:paraId="70E13F0D" w14:textId="77777777" w:rsidR="00F15122" w:rsidRDefault="00000000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1A1A1A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A1A1A"/>
                                <w:kern w:val="24"/>
                                <w:sz w:val="24"/>
                              </w:rPr>
                              <w:t>「金融はどこまで踏み込むべきか」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4BCFB3" w14:textId="77777777" w:rsidR="00F15122" w:rsidRDefault="00F15122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14:paraId="126BF00E" w14:textId="77777777" w:rsidR="00F15122" w:rsidRDefault="00000000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D55C35F" wp14:editId="6E34FA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133350</wp:posOffset>
                      </wp:positionV>
                      <wp:extent cx="28575" cy="363855"/>
                      <wp:effectExtent l="0" t="0" r="635" b="635"/>
                      <wp:wrapNone/>
                      <wp:docPr id="1028" name="Shap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A4C"/>
                              </a:solidFill>
                              <a:ln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8" style="mso-wrap-distance-right:9pt;mso-wrap-distance-bottom:0pt;margin-top:10.5pt;mso-position-vertical-relative:text;mso-position-horizontal-relative:text;position:absolute;height:28.65pt;mso-wrap-distance-top:0pt;width:2.25pt;mso-wrap-distance-left:9pt;margin-left:0pt;z-index:5;" o:spid="_x0000_s1028" o:allowincell="t" o:allowoverlap="t" filled="t" fillcolor="#005a4c" stroked="f" o:spt="1">
                      <v:fill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0187D018" wp14:editId="5246C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133350</wp:posOffset>
                      </wp:positionV>
                      <wp:extent cx="4954905" cy="363855"/>
                      <wp:effectExtent l="0" t="0" r="635" b="635"/>
                      <wp:wrapNone/>
                      <wp:docPr id="1029" name="Shap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490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/>
                            </wps:spPr>
                            <wps:txbx>
                              <w:txbxContent>
                                <w:p w14:paraId="14ED7697" w14:textId="77777777" w:rsidR="00F15122" w:rsidRDefault="00000000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/>
                                      <w:color w:val="1A1A1A"/>
                                      <w:kern w:val="24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1A1A1A"/>
                                      <w:kern w:val="24"/>
                                      <w:sz w:val="24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1A1A1A"/>
                                      <w:kern w:val="24"/>
                                      <w:sz w:val="24"/>
                                    </w:rPr>
                                    <w:t>GX支援で重要な視点」</w:t>
                                  </w:r>
                                </w:p>
                              </w:txbxContent>
                            </wps:txbx>
                            <wps:bodyPr vertOverflow="overflow" horzOverflow="overflow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7D018" id="_x0000_s1027" style="position:absolute;margin-left:0;margin-top:10.5pt;width:390.15pt;height:28.6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" stroked="f">
                      <v:textbox>
                        <w:txbxContent>
                          <w:p w14:paraId="14ED7697" w14:textId="77777777" w:rsidR="00F15122" w:rsidRDefault="00000000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1A1A1A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A1A1A"/>
                                <w:kern w:val="24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1A1A1A"/>
                                <w:kern w:val="24"/>
                                <w:sz w:val="24"/>
                              </w:rPr>
                              <w:t>GX支援で重要な視点」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E4FD63" w14:textId="77777777" w:rsidR="00F15122" w:rsidRDefault="00F15122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D8BB6BC" w14:textId="77777777" w:rsidR="00F15122" w:rsidRDefault="00F15122">
      <w:pPr>
        <w:snapToGrid w:val="0"/>
        <w:rPr>
          <w:rFonts w:ascii="BIZ UDPゴシック" w:eastAsia="BIZ UDPゴシック" w:hAnsi="BIZ UDPゴシック"/>
          <w:sz w:val="28"/>
        </w:rPr>
      </w:pPr>
    </w:p>
    <w:sectPr w:rsidR="00F15122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A4CB" w14:textId="77777777" w:rsidR="00C930E0" w:rsidRDefault="00C930E0">
      <w:r>
        <w:separator/>
      </w:r>
    </w:p>
  </w:endnote>
  <w:endnote w:type="continuationSeparator" w:id="0">
    <w:p w14:paraId="41EFE70F" w14:textId="77777777" w:rsidR="00C930E0" w:rsidRDefault="00C9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5F77" w14:textId="77777777" w:rsidR="00C930E0" w:rsidRDefault="00C930E0">
      <w:r>
        <w:separator/>
      </w:r>
    </w:p>
  </w:footnote>
  <w:footnote w:type="continuationSeparator" w:id="0">
    <w:p w14:paraId="29E3B057" w14:textId="77777777" w:rsidR="00C930E0" w:rsidRDefault="00C93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22"/>
    <w:rsid w:val="002B5FE6"/>
    <w:rsid w:val="00C930E0"/>
    <w:rsid w:val="00D85A18"/>
    <w:rsid w:val="00F1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E4A8C"/>
  <w15:chartTrackingRefBased/>
  <w15:docId w15:val="{C808CA35-9D8E-46F2-B476-9ACE4C69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/>
      <w:color w:val="000000" w:themeColor="text1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/>
      <w:color w:val="000000" w:themeColor="text1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/>
      <w:color w:val="000000" w:themeColor="text1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/>
      <w:color w:val="000000" w:themeColor="text1"/>
    </w:rPr>
  </w:style>
  <w:style w:type="character" w:customStyle="1" w:styleId="Heading8Char">
    <w:name w:val="Heading 8 Char"/>
    <w:basedOn w:val="DefaultParagraphFont"/>
    <w:link w:val="Heading8"/>
    <w:rPr>
      <w:rFonts w:asciiTheme="majorHAnsi" w:eastAsiaTheme="majorEastAsia" w:hAnsiTheme="majorHAnsi"/>
      <w:color w:val="000000" w:themeColor="text1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/>
      <w:spacing w:val="-10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Pr>
      <w:i/>
      <w:color w:val="404040" w:themeColor="text1" w:themeTint="BF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IntenseEmphasis">
    <w:name w:val="Intense Emphasis"/>
    <w:basedOn w:val="DefaultParagraphFont"/>
    <w:qFormat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qFormat/>
    <w:rPr>
      <w:b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 SERA</dc:creator>
  <cp:lastModifiedBy>中沢章</cp:lastModifiedBy>
  <cp:revision>2</cp:revision>
  <cp:lastPrinted>2025-12-26T06:36:00Z</cp:lastPrinted>
  <dcterms:created xsi:type="dcterms:W3CDTF">2025-12-26T07:59:00Z</dcterms:created>
  <dcterms:modified xsi:type="dcterms:W3CDTF">2025-12-26T07:59:00Z</dcterms:modified>
</cp:coreProperties>
</file>